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49" w:rsidRDefault="00E20849" w:rsidP="00E208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</w:pPr>
      <w:r w:rsidRPr="00E20849"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  <w:t>чем же отличаются глаголы </w:t>
      </w:r>
      <w:r w:rsidRPr="00E20849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u w:val="single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  <w:t>do</w:t>
      </w:r>
      <w:proofErr w:type="spellEnd"/>
      <w:r w:rsidRPr="00E20849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u w:val="single"/>
          <w:lang w:eastAsia="ru-RU"/>
        </w:rPr>
        <w:t>»</w:t>
      </w:r>
      <w:r w:rsidRPr="00E20849"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  <w:t> и </w:t>
      </w:r>
      <w:r w:rsidRPr="00E20849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u w:val="single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  <w:t>play</w:t>
      </w:r>
      <w:proofErr w:type="spellEnd"/>
      <w:r w:rsidRPr="00E20849">
        <w:rPr>
          <w:rFonts w:ascii="Arial" w:eastAsia="Times New Roman" w:hAnsi="Arial" w:cs="Arial"/>
          <w:b/>
          <w:bCs/>
          <w:i/>
          <w:iCs/>
          <w:color w:val="0000FF"/>
          <w:sz w:val="27"/>
          <w:szCs w:val="27"/>
          <w:u w:val="single"/>
          <w:lang w:eastAsia="ru-RU"/>
        </w:rPr>
        <w:t>»</w:t>
      </w:r>
      <w:r w:rsidRPr="00E20849">
        <w:rPr>
          <w:rFonts w:ascii="Arial" w:eastAsia="Times New Roman" w:hAnsi="Arial" w:cs="Arial"/>
          <w:b/>
          <w:bCs/>
          <w:i/>
          <w:iCs/>
          <w:color w:val="3D3D3D"/>
          <w:sz w:val="27"/>
          <w:szCs w:val="27"/>
          <w:u w:val="single"/>
          <w:lang w:eastAsia="ru-RU"/>
        </w:rPr>
        <w:t>?</w:t>
      </w:r>
      <w:bookmarkStart w:id="0" w:name="_GoBack"/>
      <w:bookmarkEnd w:id="0"/>
    </w:p>
    <w:p w:rsidR="00E20849" w:rsidRPr="00E20849" w:rsidRDefault="00E20849" w:rsidP="00E2084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208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C076C" wp14:editId="6495702E">
            <wp:extent cx="5940425" cy="2953240"/>
            <wp:effectExtent l="0" t="0" r="3175" b="0"/>
            <wp:docPr id="8" name="Рисунок 8" descr="https://lingua-airlines.ru/wp-content/uploads/2016/06/sportivnye-glag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gua-airlines.ru/wp-content/uploads/2016/06/sportivnye-glago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49" w:rsidRPr="00E20849" w:rsidRDefault="00E20849" w:rsidP="00E20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DO</w:t>
      </w:r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r w:rsidRPr="00E20849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– как правило, употребляется </w:t>
      </w:r>
      <w:r w:rsidRPr="00E20849">
        <w:rPr>
          <w:rFonts w:ascii="Tahoma" w:eastAsia="Times New Roman" w:hAnsi="Tahoma" w:cs="Tahoma"/>
          <w:i/>
          <w:iCs/>
          <w:color w:val="333333"/>
          <w:spacing w:val="8"/>
          <w:sz w:val="27"/>
          <w:szCs w:val="27"/>
          <w:lang w:eastAsia="ru-RU"/>
        </w:rPr>
        <w:t>с названиями рекреационных видов деятельности, а также с названиями видов спорта, предполагающих индивидуальное участие и исключающих игры с мячом</w:t>
      </w:r>
      <w:r w:rsidRPr="00E20849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.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>
        <w:rPr>
          <w:rFonts w:ascii="Tahoma" w:hAnsi="Tahoma" w:cs="Tahoma"/>
          <w:color w:val="333333"/>
          <w:spacing w:val="8"/>
          <w:sz w:val="27"/>
          <w:szCs w:val="27"/>
        </w:rPr>
        <w:t>Например,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Do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ballet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заниматься балетом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Do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yoga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заниматься йогой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Do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aerobics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заниматься аэробикой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Do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pilates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 xml:space="preserve"> – заниматься 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пилатесом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.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PLAY</w:t>
      </w:r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r>
        <w:rPr>
          <w:rFonts w:ascii="Tahoma" w:hAnsi="Tahoma" w:cs="Tahoma"/>
          <w:color w:val="333333"/>
          <w:spacing w:val="8"/>
          <w:sz w:val="27"/>
          <w:szCs w:val="27"/>
        </w:rPr>
        <w:t>– используется, когда речь идет </w:t>
      </w:r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об играх, в которых присутствует элемент состязания, о командных видах спорта, а также о тех видах спорта, которые предполагают наличие </w:t>
      </w:r>
      <w:r>
        <w:rPr>
          <w:rStyle w:val="a4"/>
          <w:rFonts w:ascii="Arial" w:hAnsi="Arial" w:cs="Arial"/>
          <w:i/>
          <w:iCs/>
          <w:color w:val="3D3D3D"/>
          <w:spacing w:val="8"/>
          <w:sz w:val="27"/>
          <w:szCs w:val="27"/>
        </w:rPr>
        <w:t>мяча</w:t>
      </w:r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 или аналогичных предметов, таких как шайба (</w:t>
      </w:r>
      <w:proofErr w:type="spellStart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puck</w:t>
      </w:r>
      <w:proofErr w:type="spellEnd"/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), диск (</w:t>
      </w:r>
      <w:proofErr w:type="spellStart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disk</w:t>
      </w:r>
      <w:proofErr w:type="spellEnd"/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), волан (</w:t>
      </w:r>
      <w:proofErr w:type="spellStart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shuttlecock</w:t>
      </w:r>
      <w:proofErr w:type="spellEnd"/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) и др</w:t>
      </w:r>
      <w:r>
        <w:rPr>
          <w:rFonts w:ascii="Tahoma" w:hAnsi="Tahoma" w:cs="Tahoma"/>
          <w:color w:val="333333"/>
          <w:spacing w:val="8"/>
          <w:sz w:val="27"/>
          <w:szCs w:val="27"/>
        </w:rPr>
        <w:t>.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>
        <w:rPr>
          <w:rFonts w:ascii="Tahoma" w:hAnsi="Tahoma" w:cs="Tahoma"/>
          <w:color w:val="333333"/>
          <w:spacing w:val="8"/>
          <w:sz w:val="27"/>
          <w:szCs w:val="27"/>
        </w:rPr>
        <w:t>Например,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Play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badminton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играть в бадминтон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Play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poker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играть в покер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Play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squash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играть в сквош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Play</w:t>
      </w:r>
      <w:proofErr w:type="spellEnd"/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chess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 – играть в шахматы.</w:t>
      </w:r>
    </w:p>
    <w:p w:rsidR="00E20849" w:rsidRDefault="00E20849"/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Но есть еще один глагол – «</w:t>
      </w:r>
      <w:proofErr w:type="spellStart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go</w:t>
      </w:r>
      <w:proofErr w:type="spellEnd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».</w:t>
      </w:r>
    </w:p>
    <w:p w:rsidR="00E20849" w:rsidRDefault="00E20849" w:rsidP="00E2084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pacing w:val="8"/>
          <w:sz w:val="27"/>
          <w:szCs w:val="27"/>
        </w:rPr>
      </w:pPr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GO</w:t>
      </w:r>
      <w:r>
        <w:rPr>
          <w:rFonts w:ascii="Tahoma" w:hAnsi="Tahoma" w:cs="Tahoma"/>
          <w:color w:val="0000FF"/>
          <w:spacing w:val="8"/>
          <w:sz w:val="27"/>
          <w:szCs w:val="27"/>
        </w:rPr>
        <w:t> </w:t>
      </w:r>
      <w:r>
        <w:rPr>
          <w:rFonts w:ascii="Tahoma" w:hAnsi="Tahoma" w:cs="Tahoma"/>
          <w:color w:val="333333"/>
          <w:spacing w:val="8"/>
          <w:sz w:val="27"/>
          <w:szCs w:val="27"/>
        </w:rPr>
        <w:t>– употребляется </w:t>
      </w:r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с названиями видов деятельности и видов спорта, заканчивающихся на </w:t>
      </w:r>
      <w:r>
        <w:rPr>
          <w:rStyle w:val="a4"/>
          <w:rFonts w:ascii="Arial" w:hAnsi="Arial" w:cs="Arial"/>
          <w:i/>
          <w:iCs/>
          <w:color w:val="3D3D3D"/>
          <w:spacing w:val="8"/>
          <w:sz w:val="27"/>
          <w:szCs w:val="27"/>
        </w:rPr>
        <w:t>«- </w:t>
      </w:r>
      <w:proofErr w:type="spellStart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ing</w:t>
      </w:r>
      <w:proofErr w:type="spellEnd"/>
      <w:r>
        <w:rPr>
          <w:rStyle w:val="a5"/>
          <w:rFonts w:ascii="Arial" w:hAnsi="Arial" w:cs="Arial"/>
          <w:b/>
          <w:bCs/>
          <w:color w:val="3D3D3D"/>
          <w:spacing w:val="8"/>
          <w:sz w:val="27"/>
          <w:szCs w:val="27"/>
        </w:rPr>
        <w:t>»</w:t>
      </w:r>
      <w:r>
        <w:rPr>
          <w:rStyle w:val="a5"/>
          <w:rFonts w:ascii="Tahoma" w:hAnsi="Tahoma" w:cs="Tahoma"/>
          <w:color w:val="333333"/>
          <w:spacing w:val="8"/>
          <w:sz w:val="27"/>
          <w:szCs w:val="27"/>
        </w:rPr>
        <w:t>.</w:t>
      </w:r>
      <w:r>
        <w:rPr>
          <w:rFonts w:ascii="Tahoma" w:hAnsi="Tahoma" w:cs="Tahoma"/>
          <w:color w:val="333333"/>
          <w:spacing w:val="8"/>
          <w:sz w:val="27"/>
          <w:szCs w:val="27"/>
        </w:rPr>
        <w:t> Глагол </w:t>
      </w:r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«</w:t>
      </w:r>
      <w:proofErr w:type="spellStart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go</w:t>
      </w:r>
      <w:proofErr w:type="spellEnd"/>
      <w:r>
        <w:rPr>
          <w:rStyle w:val="a4"/>
          <w:rFonts w:ascii="Arial" w:hAnsi="Arial" w:cs="Arial"/>
          <w:color w:val="3D3D3D"/>
          <w:spacing w:val="8"/>
          <w:sz w:val="27"/>
          <w:szCs w:val="27"/>
        </w:rPr>
        <w:t>»</w:t>
      </w:r>
      <w:r>
        <w:rPr>
          <w:rFonts w:ascii="Tahoma" w:hAnsi="Tahoma" w:cs="Tahoma"/>
          <w:color w:val="333333"/>
          <w:spacing w:val="8"/>
          <w:sz w:val="27"/>
          <w:szCs w:val="27"/>
        </w:rPr>
        <w:t> указывает на то, что занимающийся данными видами спорта или деятельностью должен перемещаться в пространстве.</w:t>
      </w:r>
    </w:p>
    <w:p w:rsidR="00E20849" w:rsidRPr="00E20849" w:rsidRDefault="00E20849" w:rsidP="00E20849"/>
    <w:p w:rsidR="00E20849" w:rsidRPr="00E20849" w:rsidRDefault="00E20849" w:rsidP="00E2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49" w:rsidRPr="00E20849" w:rsidRDefault="00E20849" w:rsidP="00E20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E20849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lastRenderedPageBreak/>
        <w:t>В сводной таблице приведены примеры употребления глаголов </w:t>
      </w:r>
      <w:r w:rsidRPr="00E20849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GO, DO</w:t>
      </w:r>
      <w:r w:rsidRPr="00E20849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 и </w:t>
      </w:r>
      <w:r w:rsidRPr="00E20849">
        <w:rPr>
          <w:rFonts w:ascii="Arial" w:eastAsia="Times New Roman" w:hAnsi="Arial" w:cs="Arial"/>
          <w:b/>
          <w:bCs/>
          <w:i/>
          <w:iCs/>
          <w:color w:val="3D3D3D"/>
          <w:spacing w:val="8"/>
          <w:sz w:val="27"/>
          <w:szCs w:val="27"/>
          <w:lang w:eastAsia="ru-RU"/>
        </w:rPr>
        <w:t>PLAY</w:t>
      </w:r>
      <w:r w:rsidRPr="00E20849">
        <w:rPr>
          <w:rFonts w:ascii="Tahoma" w:eastAsia="Times New Roman" w:hAnsi="Tahoma" w:cs="Tahoma"/>
          <w:i/>
          <w:iCs/>
          <w:color w:val="0000FF"/>
          <w:spacing w:val="8"/>
          <w:sz w:val="27"/>
          <w:szCs w:val="27"/>
          <w:lang w:eastAsia="ru-RU"/>
        </w:rPr>
        <w:t> с существительными.</w:t>
      </w:r>
    </w:p>
    <w:p w:rsidR="00E20849" w:rsidRPr="00E20849" w:rsidRDefault="00E20849" w:rsidP="00E20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E20849">
        <w:rPr>
          <w:rFonts w:ascii="Tahoma" w:eastAsia="Times New Roman" w:hAnsi="Tahoma" w:cs="Tahoma"/>
          <w:noProof/>
          <w:color w:val="337AB7"/>
          <w:spacing w:val="8"/>
          <w:sz w:val="27"/>
          <w:szCs w:val="27"/>
          <w:lang w:eastAsia="ru-RU"/>
        </w:rPr>
        <w:drawing>
          <wp:inline distT="0" distB="0" distL="0" distR="0" wp14:anchorId="1EC90B1E" wp14:editId="4B572EB7">
            <wp:extent cx="5915025" cy="4000500"/>
            <wp:effectExtent l="0" t="0" r="9525" b="0"/>
            <wp:docPr id="7" name="Рисунок 7" descr="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49" w:rsidRPr="00E20849" w:rsidRDefault="00E20849" w:rsidP="00E2084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Есть ли исключения из правила употреблении глаголов </w:t>
      </w:r>
      <w:r w:rsidRPr="00E20849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go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», 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do</w:t>
      </w:r>
      <w:proofErr w:type="spellEnd"/>
      <w:r w:rsidRPr="00E20849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ru-RU"/>
        </w:rPr>
        <w:t>»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 и </w:t>
      </w:r>
      <w:r w:rsidRPr="00E20849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play</w:t>
      </w:r>
      <w:proofErr w:type="spellEnd"/>
      <w:r w:rsidRPr="00E20849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ru-RU"/>
        </w:rPr>
        <w:t>»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  <w:lang w:eastAsia="ru-RU"/>
        </w:rPr>
        <w:t>?</w:t>
      </w:r>
    </w:p>
    <w:p w:rsidR="00E20849" w:rsidRPr="00E20849" w:rsidRDefault="00E20849" w:rsidP="00E20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r w:rsidRPr="00E20849"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  <w:t>Да. И их стоит запомнить.</w:t>
      </w:r>
    </w:p>
    <w:p w:rsidR="00E20849" w:rsidRPr="00E20849" w:rsidRDefault="00E20849" w:rsidP="00E2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Глагол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do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а не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go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употребляется со следующими существительными, заканчивающимися на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«-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ing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—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bodybuilding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», 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boxing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», 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weightlifting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(тяжелая атлетика). Объясняется это тем, что, занимаясь бодибилдингом, тяжелой атлетикой и боксом, индивид не совершает значительных перемещений в пространстве.</w:t>
      </w:r>
    </w:p>
    <w:p w:rsidR="00E20849" w:rsidRPr="00E20849" w:rsidRDefault="00E20849" w:rsidP="00E20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Существительное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golf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нормативно употребляется с глаголом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play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если речь идет о соревнованиях по гольфу. Но если игра в гольф рассматривается как вид отдыха, то следует говорить </w:t>
      </w:r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«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go</w:t>
      </w:r>
      <w:proofErr w:type="spellEnd"/>
      <w:r w:rsidRPr="00E20849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golfing</w:t>
      </w:r>
      <w:proofErr w:type="spellEnd"/>
      <w:r w:rsidRPr="00E20849"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  <w:t>»</w:t>
      </w:r>
      <w:r w:rsidRPr="00E2084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Например,</w:t>
      </w:r>
    </w:p>
    <w:p w:rsidR="00E20849" w:rsidRPr="00E20849" w:rsidRDefault="00E20849" w:rsidP="00E208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pacing w:val="8"/>
          <w:sz w:val="27"/>
          <w:szCs w:val="27"/>
          <w:lang w:eastAsia="ru-RU"/>
        </w:rPr>
      </w:pP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Fred</w:t>
      </w:r>
      <w:proofErr w:type="spellEnd"/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is</w:t>
      </w:r>
      <w:proofErr w:type="spellEnd"/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going</w:t>
      </w:r>
      <w:proofErr w:type="spellEnd"/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golfing</w:t>
      </w:r>
      <w:proofErr w:type="spellEnd"/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this</w:t>
      </w:r>
      <w:proofErr w:type="spellEnd"/>
      <w:r w:rsidRPr="00E20849">
        <w:rPr>
          <w:rFonts w:ascii="Tahoma" w:eastAsia="Times New Roman" w:hAnsi="Tahoma" w:cs="Tahoma"/>
          <w:color w:val="0000FF"/>
          <w:spacing w:val="8"/>
          <w:sz w:val="27"/>
          <w:szCs w:val="27"/>
          <w:lang w:eastAsia="ru-RU"/>
        </w:rPr>
        <w:t> </w:t>
      </w:r>
      <w:proofErr w:type="spellStart"/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weekend</w:t>
      </w:r>
      <w:proofErr w:type="spellEnd"/>
      <w:r w:rsidRPr="00E20849">
        <w:rPr>
          <w:rFonts w:ascii="Arial" w:eastAsia="Times New Roman" w:hAnsi="Arial" w:cs="Arial"/>
          <w:b/>
          <w:bCs/>
          <w:color w:val="0000FF"/>
          <w:spacing w:val="8"/>
          <w:sz w:val="27"/>
          <w:szCs w:val="27"/>
          <w:lang w:eastAsia="ru-RU"/>
        </w:rPr>
        <w:t>.</w:t>
      </w:r>
      <w:r w:rsidRPr="00E20849">
        <w:rPr>
          <w:rFonts w:ascii="Arial" w:eastAsia="Times New Roman" w:hAnsi="Arial" w:cs="Arial"/>
          <w:b/>
          <w:bCs/>
          <w:color w:val="3D3D3D"/>
          <w:spacing w:val="8"/>
          <w:sz w:val="27"/>
          <w:szCs w:val="27"/>
          <w:lang w:eastAsia="ru-RU"/>
        </w:rPr>
        <w:t> – В эти выходные Фред играет в гольф.</w:t>
      </w:r>
    </w:p>
    <w:p w:rsidR="00E20849" w:rsidRPr="00E20849" w:rsidRDefault="00E20849" w:rsidP="00E20849"/>
    <w:p w:rsidR="00E20849" w:rsidRPr="00E20849" w:rsidRDefault="00E20849" w:rsidP="00E20849"/>
    <w:p w:rsidR="00E20849" w:rsidRPr="00E20849" w:rsidRDefault="00E20849" w:rsidP="00E20849"/>
    <w:p w:rsidR="00E20849" w:rsidRPr="00E20849" w:rsidRDefault="00E20849" w:rsidP="00E20849"/>
    <w:p w:rsidR="00E20849" w:rsidRPr="00E20849" w:rsidRDefault="00E20849" w:rsidP="00E20849"/>
    <w:p w:rsidR="00E20849" w:rsidRPr="00E20849" w:rsidRDefault="00E20849" w:rsidP="00E20849"/>
    <w:p w:rsidR="00E20849" w:rsidRDefault="00E20849" w:rsidP="00E20849"/>
    <w:p w:rsidR="009E681F" w:rsidRPr="00E20849" w:rsidRDefault="00E20849" w:rsidP="00E20849">
      <w:pPr>
        <w:tabs>
          <w:tab w:val="left" w:pos="1035"/>
        </w:tabs>
      </w:pPr>
      <w:r>
        <w:tab/>
      </w:r>
    </w:p>
    <w:sectPr w:rsidR="009E681F" w:rsidRPr="00E2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1015"/>
    <w:multiLevelType w:val="multilevel"/>
    <w:tmpl w:val="4802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9"/>
    <w:rsid w:val="009E681F"/>
    <w:rsid w:val="00E20849"/>
    <w:rsid w:val="00F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8C85"/>
  <w15:chartTrackingRefBased/>
  <w15:docId w15:val="{8CAD0799-04C6-4C0D-A395-EB67769C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49"/>
    <w:rPr>
      <w:b/>
      <w:bCs/>
    </w:rPr>
  </w:style>
  <w:style w:type="character" w:styleId="a5">
    <w:name w:val="Emphasis"/>
    <w:basedOn w:val="a0"/>
    <w:uiPriority w:val="20"/>
    <w:qFormat/>
    <w:rsid w:val="00E208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and-skype.ru/wp-content/uploads/2016/06/6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2019-12-02T14:15:00Z</cp:lastPrinted>
  <dcterms:created xsi:type="dcterms:W3CDTF">2019-12-02T14:04:00Z</dcterms:created>
  <dcterms:modified xsi:type="dcterms:W3CDTF">2019-12-02T14:16:00Z</dcterms:modified>
</cp:coreProperties>
</file>